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EE" w:rsidRDefault="00230AEE" w:rsidP="00230AEE">
      <w:pPr>
        <w:rPr>
          <w:b/>
          <w:noProof/>
          <w:lang w:eastAsia="en-US"/>
        </w:rPr>
      </w:pPr>
      <w:r>
        <w:rPr>
          <w:b/>
          <w:noProof/>
        </w:rPr>
        <w:drawing>
          <wp:inline distT="0" distB="0" distL="0" distR="0">
            <wp:extent cx="3752850" cy="652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EE" w:rsidRDefault="00230AEE" w:rsidP="00230AEE">
      <w:pPr>
        <w:rPr>
          <w:rFonts w:ascii="Verdana" w:hAnsi="Verdana"/>
          <w:b/>
          <w:noProof/>
          <w:lang w:eastAsia="en-US"/>
        </w:rPr>
      </w:pPr>
    </w:p>
    <w:p w:rsidR="00230AEE" w:rsidRDefault="00230AEE" w:rsidP="00230AEE">
      <w:pPr>
        <w:rPr>
          <w:rFonts w:ascii="Verdana" w:hAnsi="Verdana"/>
          <w:b/>
          <w:noProof/>
          <w:lang w:val="en-US" w:eastAsia="en-US"/>
        </w:rPr>
      </w:pPr>
    </w:p>
    <w:p w:rsidR="00230AEE" w:rsidRPr="00230AEE" w:rsidRDefault="00230AEE" w:rsidP="00230AEE">
      <w:pPr>
        <w:rPr>
          <w:rFonts w:ascii="Verdana" w:hAnsi="Verdana"/>
          <w:b/>
          <w:noProof/>
          <w:lang w:val="en-US" w:eastAsia="en-US"/>
        </w:rPr>
      </w:pPr>
    </w:p>
    <w:p w:rsidR="00230AEE" w:rsidRPr="00412FB9" w:rsidRDefault="00230AEE" w:rsidP="00230AEE">
      <w:pPr>
        <w:jc w:val="center"/>
        <w:rPr>
          <w:rFonts w:ascii="Verdana" w:hAnsi="Verdana"/>
          <w:b/>
          <w:lang w:val="en-US" w:eastAsia="en-US"/>
        </w:rPr>
      </w:pPr>
      <w:r w:rsidRPr="00412FB9">
        <w:rPr>
          <w:rFonts w:ascii="Verdana" w:hAnsi="Verdana"/>
          <w:b/>
          <w:lang w:val="en-US" w:eastAsia="en-US"/>
        </w:rPr>
        <w:t xml:space="preserve">№34 </w:t>
      </w:r>
      <w:r w:rsidRPr="00230AEE">
        <w:rPr>
          <w:rFonts w:ascii="Verdana" w:hAnsi="Verdana"/>
          <w:b/>
          <w:lang w:val="kk-KZ" w:eastAsia="en-US"/>
        </w:rPr>
        <w:t>БАСПАС</w:t>
      </w:r>
      <w:r w:rsidRPr="00230AEE">
        <w:rPr>
          <w:rFonts w:ascii="Arial" w:hAnsi="Arial" w:cs="Arial"/>
          <w:b/>
          <w:lang w:val="kk-KZ" w:eastAsia="en-US"/>
        </w:rPr>
        <w:t>Ө</w:t>
      </w:r>
      <w:r w:rsidRPr="00230AEE">
        <w:rPr>
          <w:rFonts w:ascii="Verdana" w:hAnsi="Verdana" w:cs="Verdana"/>
          <w:b/>
          <w:lang w:val="kk-KZ" w:eastAsia="en-US"/>
        </w:rPr>
        <w:t>З</w:t>
      </w:r>
      <w:r w:rsidRPr="00230AEE">
        <w:rPr>
          <w:rFonts w:ascii="Verdana" w:hAnsi="Verdana"/>
          <w:b/>
          <w:lang w:val="kk-KZ" w:eastAsia="en-US"/>
        </w:rPr>
        <w:t xml:space="preserve"> </w:t>
      </w:r>
      <w:r w:rsidRPr="00230AEE">
        <w:rPr>
          <w:rFonts w:ascii="Verdana" w:hAnsi="Verdana" w:cs="Verdana"/>
          <w:b/>
          <w:lang w:val="kk-KZ" w:eastAsia="en-US"/>
        </w:rPr>
        <w:t>Р</w:t>
      </w:r>
      <w:r w:rsidRPr="00230AEE">
        <w:rPr>
          <w:rFonts w:ascii="Verdana" w:hAnsi="Verdana"/>
          <w:b/>
          <w:lang w:val="kk-KZ" w:eastAsia="en-US"/>
        </w:rPr>
        <w:t>ЕЛИЗІ</w:t>
      </w:r>
    </w:p>
    <w:p w:rsidR="00230AEE" w:rsidRPr="00412FB9" w:rsidRDefault="00230AEE" w:rsidP="00230AEE">
      <w:pPr>
        <w:jc w:val="center"/>
        <w:rPr>
          <w:rFonts w:ascii="Calibri" w:hAnsi="Calibri"/>
          <w:b/>
          <w:lang w:val="en-US" w:eastAsia="en-US"/>
        </w:rPr>
      </w:pPr>
    </w:p>
    <w:p w:rsidR="00230AEE" w:rsidRPr="00412FB9" w:rsidRDefault="00230AEE" w:rsidP="00230AEE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lang w:val="en-US" w:eastAsia="en-US"/>
        </w:rPr>
      </w:pPr>
      <w:r w:rsidRPr="00230AEE">
        <w:rPr>
          <w:rFonts w:asciiTheme="minorHAnsi" w:hAnsiTheme="minorHAnsi" w:cstheme="minorHAnsi"/>
          <w:b/>
          <w:lang w:val="kk-KZ" w:eastAsia="en-US"/>
        </w:rPr>
        <w:t>Қазақстан Республикасының Ұлттық қорынан бөлінген қаражаттың жұмсалуын бақылау туралы</w:t>
      </w:r>
    </w:p>
    <w:p w:rsidR="00230AEE" w:rsidRPr="00412FB9" w:rsidRDefault="00230AEE" w:rsidP="00230AEE">
      <w:pPr>
        <w:jc w:val="center"/>
        <w:rPr>
          <w:rFonts w:ascii="Verdana" w:eastAsia="Calibri" w:hAnsi="Verdana"/>
          <w:b/>
          <w:lang w:val="en-US" w:eastAsia="en-US"/>
        </w:rPr>
      </w:pPr>
    </w:p>
    <w:p w:rsidR="00230AEE" w:rsidRPr="00230AEE" w:rsidRDefault="00230AEE" w:rsidP="00230AEE">
      <w:pPr>
        <w:rPr>
          <w:rFonts w:ascii="Verdana" w:hAnsi="Verdana" w:cs="Calibri"/>
          <w:lang w:val="kk-KZ" w:eastAsia="en-US"/>
        </w:rPr>
      </w:pPr>
      <w:r w:rsidRPr="00230AEE">
        <w:rPr>
          <w:rFonts w:ascii="Verdana" w:hAnsi="Verdana" w:cs="Calibri"/>
          <w:lang w:val="kk-KZ" w:eastAsia="en-US"/>
        </w:rPr>
        <w:t>2015 жыл</w:t>
      </w:r>
      <w:r w:rsidRPr="00230AEE">
        <w:rPr>
          <w:rFonts w:ascii="Arial" w:hAnsi="Arial" w:cs="Arial"/>
          <w:lang w:val="kk-KZ" w:eastAsia="en-US"/>
        </w:rPr>
        <w:t>ғ</w:t>
      </w:r>
      <w:r w:rsidRPr="00230AEE">
        <w:rPr>
          <w:rFonts w:ascii="Verdana" w:hAnsi="Verdana" w:cs="Calibri"/>
          <w:lang w:val="kk-KZ" w:eastAsia="en-US"/>
        </w:rPr>
        <w:t>ы 1</w:t>
      </w:r>
      <w:r w:rsidR="00412FB9">
        <w:rPr>
          <w:rFonts w:ascii="Verdana" w:hAnsi="Verdana" w:cs="Calibri"/>
          <w:lang w:val="kk-KZ" w:eastAsia="en-US"/>
        </w:rPr>
        <w:t>7</w:t>
      </w:r>
      <w:r w:rsidRPr="00230AEE">
        <w:rPr>
          <w:rFonts w:ascii="Verdana" w:hAnsi="Verdana" w:cs="Calibri"/>
          <w:lang w:val="kk-KZ" w:eastAsia="en-US"/>
        </w:rPr>
        <w:t xml:space="preserve"> шілде                                                                Алматы </w:t>
      </w:r>
      <w:r w:rsidRPr="00230AEE">
        <w:rPr>
          <w:rFonts w:ascii="Arial" w:hAnsi="Arial" w:cs="Arial"/>
          <w:lang w:val="kk-KZ" w:eastAsia="en-US"/>
        </w:rPr>
        <w:t>қ</w:t>
      </w:r>
      <w:r w:rsidRPr="00230AEE">
        <w:rPr>
          <w:rFonts w:ascii="Verdana" w:hAnsi="Verdana" w:cs="Calibri"/>
          <w:lang w:val="kk-KZ" w:eastAsia="en-US"/>
        </w:rPr>
        <w:t>.</w:t>
      </w:r>
    </w:p>
    <w:p w:rsidR="00230AEE" w:rsidRPr="00230AEE" w:rsidRDefault="00230AEE" w:rsidP="00230AEE">
      <w:pPr>
        <w:ind w:firstLine="709"/>
        <w:jc w:val="both"/>
        <w:rPr>
          <w:rFonts w:ascii="Verdana" w:hAnsi="Verdana" w:cs="Calibri"/>
          <w:lang w:val="kk-KZ" w:eastAsia="en-US"/>
        </w:rPr>
      </w:pP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 xml:space="preserve">2015 жылғы 9 шілдеде Астана қаласында Қазақстан Республикасының Премьер-Министрі К.Қ.Мәсімовтің төрағалық етуімен Қазақстан Республикасының Ұлттық қорынан бөлінген қаражаттың жұмсалуын бақылау жөніндегі комиссияның (бұдан әрі – Комиссия) кеңейтілген отырысы өтті. </w:t>
      </w:r>
    </w:p>
    <w:p w:rsidR="00230AEE" w:rsidRPr="00412FB9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 xml:space="preserve">Комиссияның отырысында жүргізілген тексерулер, сондай-ақ бөлінген қаражаттың игерілу қарқынының нәтижелері бойынша Қазақстан Республикасының Ұлттық қорынан бөлінген қаражаттың жұмсалуын бақылауды күшейту мәселелері талқыланды. </w:t>
      </w:r>
    </w:p>
    <w:p w:rsidR="00230AEE" w:rsidRPr="00412FB9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 xml:space="preserve">Отырыс нәтижелері бойынша «Бәйтерек» ҰБХ» АҚ-қа, «Даму» КДҚ» АҚ-қа және «Қазақстанның Даму Банкі» АҚ-қа түпкілікті қарыз алушылардың қаражатты мақсатсыз пайдалануының алдын алуға бағытталған, сондай-ақ құқық қорғау органдарымен өңірлік деңгейде қосымша іс-қимылды қамтамасыз ететін шаралар кешенін қабылдау жөнінде екінші деңгейдегі банктермен жұмысты жылдамдату тапсырылды. </w:t>
      </w: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 xml:space="preserve">«Даму» КДҚ» АҚ желісі бойынша өңдеуші өнеркәсіптегі ШОК жобаларына қолдау көрсетуге бөлінген қаражаттан 2015 жылғы 3 шілдедегі жағдай бойынша </w:t>
      </w:r>
      <w:r w:rsidRPr="00412FB9">
        <w:rPr>
          <w:rFonts w:ascii="Calibri" w:hAnsi="Calibri" w:cs="Calibri"/>
          <w:lang w:val="kk-KZ"/>
        </w:rPr>
        <w:t>100 млрд. те</w:t>
      </w:r>
      <w:r w:rsidRPr="00230AEE">
        <w:rPr>
          <w:rFonts w:ascii="Calibri" w:hAnsi="Calibri" w:cs="Calibri"/>
          <w:lang w:val="kk-KZ"/>
        </w:rPr>
        <w:t>ң</w:t>
      </w:r>
      <w:r w:rsidRPr="00412FB9">
        <w:rPr>
          <w:rFonts w:ascii="Calibri" w:hAnsi="Calibri" w:cs="Calibri"/>
          <w:lang w:val="kk-KZ"/>
        </w:rPr>
        <w:t>ге</w:t>
      </w:r>
      <w:r w:rsidRPr="00230AEE">
        <w:rPr>
          <w:rFonts w:ascii="Calibri" w:hAnsi="Calibri" w:cs="Calibri"/>
          <w:lang w:val="kk-KZ"/>
        </w:rPr>
        <w:t xml:space="preserve"> мөлшеріндегі 1-ші транш толық игерілді. Қосалқы игеру 5,735 млрд. теңгені немесе бөлінген қаражаттың жалпы көлемінің 5,7%-н құрайды.</w:t>
      </w: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 w:eastAsia="en-US"/>
        </w:rPr>
        <w:t>2-ші транш (50 млрд. теңге) бойынша 41,117 млрд. теңге сомаға немесе бөлінген қаражаттың жалпы көлемінің 82%-на  232 жоба қаржыландырылды.</w:t>
      </w: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 w:eastAsia="en-US"/>
        </w:rPr>
        <w:t>3-ші транш (50 млрд. теңге) бойынша 16,912 млрд. теңге сомаға немесе бөлінген қаражаттың жалпы көлемінің 34%-на 129 жоба қаржыландырылды.</w:t>
      </w: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>«Қазақстанның Даму Банкі» АҚ желісі бойынша ИИДМБ-2 үшін бөлінген қаражаттан (50 млрд. теңге) 2015 жылғы 3 шілдедегі жағдай бойынша 4,16 млрд. теңге сомаға немесе бөлінген қаражаттың жалпы көлемінің 8%-на нақты 1 жоба қаржыландырылды («АЛТЕЛ» АҚ).</w:t>
      </w: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>Өңдеуші өнеркәсіптегі ірі бизнестің жобаларын қолдау үшін 1-ші транш (50 млрд. теңге) бойынша 18,731 млрд. теңге сомаға немесе бөлінген қаражаттың жалпы көлемінің 37%-на 20 жоба қаржыландырылды.</w:t>
      </w:r>
    </w:p>
    <w:p w:rsidR="00230AEE" w:rsidRPr="00230AEE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>Өңдеуші өнеркәсіптегі ірі бизнестің жобаларын қолдау үшін 2-ші транш (50 млрд. теңге) бойынша 11,539 млрд. теңге сомаға немесе бөлінген қаражаттың жалпы көлемінің 23%-на 13 жоба қаржыландырылды.</w:t>
      </w:r>
    </w:p>
    <w:p w:rsidR="00230AEE" w:rsidRPr="00412FB9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  <w:r w:rsidRPr="00230AEE">
        <w:rPr>
          <w:rFonts w:ascii="Calibri" w:hAnsi="Calibri" w:cs="Calibri"/>
          <w:lang w:val="kk-KZ"/>
        </w:rPr>
        <w:t>Оған қоса, «Қазақстанның Даму Банкі» АҚ-тың деректері  бойынша отандық өндірістің  жеңіл автокөлігін сатып алушы – жеке  тұлғаларды кредиттеуге   2015 жылы  бөлінген 15 млрд. теңгеден 2015 жылғы  3 шілдедегі жағдай бойынша  7,461  млрд. теңге сомаға немесе бөлінген қаражаттың жалпы көлемінің 50%-на нақты 2 322  жеке  тұлға қаржыландырылды.</w:t>
      </w:r>
    </w:p>
    <w:p w:rsidR="00230AEE" w:rsidRPr="00412FB9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</w:p>
    <w:p w:rsidR="00230AEE" w:rsidRPr="00412FB9" w:rsidRDefault="00230AEE" w:rsidP="00230AEE">
      <w:pPr>
        <w:ind w:firstLine="709"/>
        <w:jc w:val="both"/>
        <w:rPr>
          <w:rFonts w:ascii="Calibri" w:hAnsi="Calibri" w:cs="Calibri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53"/>
        <w:gridCol w:w="4961"/>
        <w:gridCol w:w="1257"/>
        <w:gridCol w:w="1011"/>
        <w:gridCol w:w="1116"/>
      </w:tblGrid>
      <w:tr w:rsidR="00230AEE" w:rsidRPr="00230AEE" w:rsidTr="009C0EED">
        <w:trPr>
          <w:jc w:val="center"/>
        </w:trPr>
        <w:tc>
          <w:tcPr>
            <w:tcW w:w="675" w:type="dxa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 xml:space="preserve">Жылы 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>Қаржыландыру мақсаты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 xml:space="preserve">Бөлінгені 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>Пайда-ланыл-ғаны  (млрд. теңге)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ind w:right="-126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>Орын-далу %-ы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>«ҚДБ» АҚ</w:t>
            </w: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2014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 w:eastAsia="en-US"/>
              </w:rPr>
              <w:t>ИИДМБ-2 жобаларын қаржыландыру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50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4,16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8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2014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Өңдеуші өнеркәсіптегі ірі кәсіпкерліктің жобаларын қаржыландыру (1-ші транш)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50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18,731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37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Өңдеуші өнеркәсіптегі ірі кәсіпкерліктің жобаларын қаржыландыру (2-ші транш)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50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11,539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23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Отандық өндірістің жеңіл автокөлік сатып алушылары жеке тұлғаларды кредиттеу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15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7,461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50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Отандық автомобильдер өндірісін қолдауға арналған лизингтік қаржыландыру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 5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Тікұшақ өндірушілерді қаржыландыру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10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Жолаушылар вагондарын өндірушілерді қаржыландыру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 5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Экспорттық кредиттеу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35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0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230AEE">
              <w:rPr>
                <w:rFonts w:asciiTheme="minorHAnsi" w:hAnsiTheme="minorHAnsi" w:cstheme="minorHAnsi"/>
                <w:b/>
                <w:lang w:val="kk-KZ"/>
              </w:rPr>
              <w:t xml:space="preserve">ДАМУ» КДҚ» АҚ </w:t>
            </w: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2014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Өңдеуші өнеркәсіптегі шағын және орта кәсіпкерлік жобаларын қаржыландыру</w:t>
            </w:r>
          </w:p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(1-ші транш)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100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100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100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2014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Өңдеуші өнеркәсіптегі шағын және орта кәсіпкерлік жобаларын қаржыландыру</w:t>
            </w:r>
          </w:p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(2-ші транш)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 50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41,117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82</w:t>
            </w:r>
          </w:p>
        </w:tc>
      </w:tr>
      <w:tr w:rsidR="00230AEE" w:rsidRPr="00230AEE" w:rsidTr="009C0EED">
        <w:trPr>
          <w:jc w:val="center"/>
        </w:trPr>
        <w:tc>
          <w:tcPr>
            <w:tcW w:w="675" w:type="dxa"/>
            <w:vMerge/>
            <w:vAlign w:val="center"/>
          </w:tcPr>
          <w:p w:rsidR="00230AEE" w:rsidRPr="00230AEE" w:rsidRDefault="00230AEE" w:rsidP="00230AEE">
            <w:pPr>
              <w:ind w:firstLine="709"/>
              <w:jc w:val="both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1153" w:type="dxa"/>
            <w:vAlign w:val="center"/>
          </w:tcPr>
          <w:p w:rsidR="00230AEE" w:rsidRPr="00230AEE" w:rsidRDefault="00230AEE" w:rsidP="00230AEE">
            <w:pPr>
              <w:jc w:val="both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2015</w:t>
            </w:r>
          </w:p>
        </w:tc>
        <w:tc>
          <w:tcPr>
            <w:tcW w:w="496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Өңдеуші өнеркәсіптегі шағын және орта кәсіпкерлік жобаларын қаржыландыру</w:t>
            </w:r>
          </w:p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(3-ші транш)</w:t>
            </w:r>
          </w:p>
        </w:tc>
        <w:tc>
          <w:tcPr>
            <w:tcW w:w="1257" w:type="dxa"/>
            <w:vAlign w:val="center"/>
          </w:tcPr>
          <w:p w:rsidR="00230AEE" w:rsidRPr="00230AEE" w:rsidRDefault="00230AEE" w:rsidP="00230AEE">
            <w:pPr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 xml:space="preserve">       50</w:t>
            </w:r>
          </w:p>
        </w:tc>
        <w:tc>
          <w:tcPr>
            <w:tcW w:w="1011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16,912</w:t>
            </w:r>
          </w:p>
        </w:tc>
        <w:tc>
          <w:tcPr>
            <w:tcW w:w="1116" w:type="dxa"/>
            <w:vAlign w:val="center"/>
          </w:tcPr>
          <w:p w:rsidR="00230AEE" w:rsidRPr="00230AEE" w:rsidRDefault="00230AEE" w:rsidP="00230AEE">
            <w:pPr>
              <w:jc w:val="center"/>
              <w:rPr>
                <w:rFonts w:asciiTheme="minorHAnsi" w:hAnsiTheme="minorHAnsi" w:cstheme="minorHAnsi"/>
                <w:lang w:val="kk-KZ"/>
              </w:rPr>
            </w:pPr>
            <w:r w:rsidRPr="00230AEE">
              <w:rPr>
                <w:rFonts w:asciiTheme="minorHAnsi" w:hAnsiTheme="minorHAnsi" w:cstheme="minorHAnsi"/>
                <w:lang w:val="kk-KZ"/>
              </w:rPr>
              <w:t>34</w:t>
            </w:r>
          </w:p>
        </w:tc>
      </w:tr>
    </w:tbl>
    <w:p w:rsidR="00230AEE" w:rsidRPr="00230AEE" w:rsidRDefault="00230AEE" w:rsidP="00230AEE">
      <w:pPr>
        <w:ind w:firstLine="709"/>
        <w:jc w:val="both"/>
        <w:rPr>
          <w:rFonts w:asciiTheme="minorHAnsi" w:hAnsiTheme="minorHAnsi" w:cstheme="minorHAnsi"/>
          <w:lang w:val="kk-KZ"/>
        </w:rPr>
      </w:pPr>
    </w:p>
    <w:p w:rsidR="00230AEE" w:rsidRPr="00230AEE" w:rsidRDefault="00230AEE" w:rsidP="00230AEE">
      <w:pPr>
        <w:ind w:firstLine="709"/>
        <w:jc w:val="both"/>
        <w:rPr>
          <w:rFonts w:asciiTheme="minorHAnsi" w:hAnsiTheme="minorHAnsi" w:cstheme="minorHAnsi"/>
          <w:lang w:val="kk-KZ"/>
        </w:rPr>
      </w:pPr>
    </w:p>
    <w:p w:rsidR="00230AEE" w:rsidRPr="00230AEE" w:rsidRDefault="00230AEE" w:rsidP="00230AEE">
      <w:pPr>
        <w:ind w:firstLine="709"/>
        <w:jc w:val="both"/>
        <w:rPr>
          <w:rFonts w:asciiTheme="minorHAnsi" w:hAnsiTheme="minorHAnsi" w:cstheme="minorHAnsi"/>
          <w:lang w:val="kk-KZ"/>
        </w:rPr>
      </w:pPr>
    </w:p>
    <w:p w:rsidR="00230AEE" w:rsidRPr="00230AEE" w:rsidRDefault="00230AEE" w:rsidP="00230AEE">
      <w:pPr>
        <w:ind w:firstLine="709"/>
        <w:jc w:val="both"/>
        <w:rPr>
          <w:rFonts w:asciiTheme="minorHAnsi" w:hAnsiTheme="minorHAnsi" w:cstheme="minorHAnsi"/>
          <w:lang w:val="kk-KZ"/>
        </w:rPr>
      </w:pPr>
    </w:p>
    <w:p w:rsidR="00230AEE" w:rsidRPr="00230AEE" w:rsidRDefault="00230AEE" w:rsidP="00230AEE">
      <w:pPr>
        <w:ind w:firstLine="709"/>
        <w:jc w:val="both"/>
        <w:rPr>
          <w:rFonts w:asciiTheme="minorHAnsi" w:hAnsiTheme="minorHAnsi" w:cstheme="minorHAnsi"/>
          <w:lang w:val="kk-KZ"/>
        </w:rPr>
      </w:pPr>
    </w:p>
    <w:p w:rsidR="00230AEE" w:rsidRPr="00230AEE" w:rsidRDefault="00230AEE" w:rsidP="00230AEE">
      <w:pPr>
        <w:tabs>
          <w:tab w:val="left" w:pos="5760"/>
        </w:tabs>
        <w:ind w:firstLine="709"/>
        <w:jc w:val="both"/>
        <w:rPr>
          <w:rFonts w:asciiTheme="minorHAnsi" w:hAnsiTheme="minorHAnsi" w:cstheme="minorHAnsi"/>
          <w:lang w:val="kk-KZ" w:eastAsia="en-US"/>
        </w:rPr>
      </w:pPr>
    </w:p>
    <w:p w:rsidR="00230AEE" w:rsidRPr="00230AEE" w:rsidRDefault="00230AEE" w:rsidP="00230A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napToGrid w:val="0"/>
          <w:lang w:val="kk-KZ" w:eastAsia="en-US"/>
        </w:rPr>
      </w:pPr>
    </w:p>
    <w:p w:rsidR="00230AEE" w:rsidRPr="00230AEE" w:rsidRDefault="00230AEE" w:rsidP="00230A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napToGrid w:val="0"/>
          <w:lang w:val="kk-KZ" w:eastAsia="en-US"/>
        </w:rPr>
      </w:pPr>
    </w:p>
    <w:p w:rsidR="00230AEE" w:rsidRPr="00230AEE" w:rsidRDefault="00230AEE" w:rsidP="00230A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napToGrid w:val="0"/>
          <w:lang w:val="en-US" w:eastAsia="en-US"/>
        </w:rPr>
      </w:pPr>
      <w:bookmarkStart w:id="0" w:name="_GoBack"/>
      <w:bookmarkEnd w:id="0"/>
    </w:p>
    <w:p w:rsidR="00230AEE" w:rsidRPr="00230AEE" w:rsidRDefault="00230AEE" w:rsidP="00230AEE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lang w:val="en-US" w:eastAsia="en-US"/>
        </w:rPr>
      </w:pPr>
    </w:p>
    <w:p w:rsidR="00230AEE" w:rsidRDefault="00230AEE" w:rsidP="00230AE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Cs/>
          <w:snapToGrid w:val="0"/>
          <w:lang w:val="kk-KZ" w:eastAsia="en-US"/>
        </w:rPr>
      </w:pPr>
    </w:p>
    <w:p w:rsidR="00230AEE" w:rsidRDefault="00230AEE" w:rsidP="00230AEE">
      <w:pPr>
        <w:jc w:val="center"/>
        <w:rPr>
          <w:rFonts w:ascii="Calibri" w:hAnsi="Calibri"/>
          <w:sz w:val="22"/>
          <w:szCs w:val="22"/>
          <w:lang w:val="kk-KZ" w:eastAsia="en-US"/>
        </w:rPr>
      </w:pPr>
      <w:r>
        <w:rPr>
          <w:rFonts w:ascii="Calibri" w:hAnsi="Calibri"/>
          <w:sz w:val="22"/>
          <w:szCs w:val="22"/>
          <w:lang w:val="kk-KZ" w:eastAsia="en-US"/>
        </w:rPr>
        <w:t>Толығырақ ақпаратты мына телефондар бойынша алуға болады:</w:t>
      </w:r>
    </w:p>
    <w:p w:rsidR="00230AEE" w:rsidRDefault="00230AEE" w:rsidP="00230AEE">
      <w:pPr>
        <w:jc w:val="center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>+7 (727) 270 46 39</w:t>
      </w:r>
    </w:p>
    <w:p w:rsidR="00230AEE" w:rsidRDefault="00230AEE" w:rsidP="00230AEE">
      <w:pPr>
        <w:jc w:val="center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>+7 (727) 270 45 85</w:t>
      </w:r>
    </w:p>
    <w:p w:rsidR="00230AEE" w:rsidRDefault="00230AEE" w:rsidP="00230AEE">
      <w:pPr>
        <w:jc w:val="center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>+7 (727) 330 24 97</w:t>
      </w:r>
    </w:p>
    <w:p w:rsidR="00230AEE" w:rsidRDefault="00230AEE" w:rsidP="00230AEE">
      <w:pPr>
        <w:jc w:val="center"/>
        <w:rPr>
          <w:rFonts w:ascii="Calibri" w:hAnsi="Calibri"/>
          <w:sz w:val="22"/>
          <w:szCs w:val="22"/>
          <w:lang w:val="en-US" w:eastAsia="en-US"/>
        </w:rPr>
      </w:pPr>
      <w:proofErr w:type="gramStart"/>
      <w:r>
        <w:rPr>
          <w:rFonts w:ascii="Calibri" w:hAnsi="Calibri"/>
          <w:sz w:val="22"/>
          <w:szCs w:val="22"/>
          <w:lang w:val="en-US" w:eastAsia="en-US"/>
        </w:rPr>
        <w:t>e-mail</w:t>
      </w:r>
      <w:proofErr w:type="gramEnd"/>
      <w:r>
        <w:rPr>
          <w:rFonts w:ascii="Calibri" w:hAnsi="Calibri"/>
          <w:sz w:val="22"/>
          <w:szCs w:val="22"/>
          <w:lang w:val="en-US" w:eastAsia="en-US"/>
        </w:rPr>
        <w:t>: press@nationalbank.kz</w:t>
      </w:r>
    </w:p>
    <w:p w:rsidR="00230AEE" w:rsidRDefault="00230AEE" w:rsidP="00230AEE">
      <w:pPr>
        <w:jc w:val="center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>www.nationalbank.kz</w:t>
      </w:r>
    </w:p>
    <w:p w:rsidR="00230AEE" w:rsidRDefault="00230AEE" w:rsidP="00230AEE">
      <w:pPr>
        <w:jc w:val="both"/>
        <w:rPr>
          <w:b/>
          <w:sz w:val="28"/>
          <w:szCs w:val="28"/>
          <w:lang w:val="kk-KZ"/>
        </w:rPr>
      </w:pPr>
    </w:p>
    <w:p w:rsidR="00B949B7" w:rsidRPr="00230AEE" w:rsidRDefault="00B949B7">
      <w:pPr>
        <w:rPr>
          <w:lang w:val="en-US"/>
        </w:rPr>
      </w:pPr>
    </w:p>
    <w:sectPr w:rsidR="00B949B7" w:rsidRPr="0023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E"/>
    <w:rsid w:val="00230AEE"/>
    <w:rsid w:val="00412FB9"/>
    <w:rsid w:val="00666E2E"/>
    <w:rsid w:val="00B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3</cp:revision>
  <dcterms:created xsi:type="dcterms:W3CDTF">2015-07-16T08:54:00Z</dcterms:created>
  <dcterms:modified xsi:type="dcterms:W3CDTF">2015-07-17T05:51:00Z</dcterms:modified>
</cp:coreProperties>
</file>